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left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JAB1904</w:t>
      </w:r>
      <w:r>
        <w:rPr>
          <w:rFonts w:ascii="Arial" w:hAnsi="Arial" w:hint="default"/>
          <w:rtl w:val="0"/>
          <w:lang w:val="en-US"/>
        </w:rPr>
        <w:t> – </w:t>
      </w:r>
      <w:r>
        <w:rPr>
          <w:rFonts w:ascii="Arial" w:hAnsi="Arial"/>
          <w:b w:val="1"/>
          <w:bCs w:val="1"/>
          <w:rtl w:val="0"/>
          <w:lang w:val="en-US"/>
        </w:rPr>
        <w:t>1</w:t>
      </w:r>
    </w:p>
    <w:p>
      <w:pPr>
        <w:pStyle w:val="Normal.0"/>
        <w:ind w:firstLine="360"/>
      </w:pPr>
    </w:p>
    <w:p>
      <w:pPr>
        <w:pStyle w:val="Normal.0"/>
        <w:bidi w:val="0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Supporting Information </w:t>
      </w:r>
      <w:r>
        <w:rPr>
          <w:rFonts w:ascii="Arial" w:hAnsi="Arial" w:hint="default"/>
          <w:b w:val="1"/>
          <w:bCs w:val="1"/>
          <w:rtl w:val="0"/>
          <w:lang w:val="en-US"/>
        </w:rPr>
        <w:t xml:space="preserve">— </w:t>
      </w:r>
      <w:r>
        <w:rPr>
          <w:rFonts w:ascii="Arial" w:hAnsi="Arial"/>
          <w:b w:val="1"/>
          <w:bCs w:val="1"/>
          <w:rtl w:val="0"/>
          <w:lang w:val="en-US"/>
        </w:rPr>
        <w:t>X-Ray Crystallography</w:t>
      </w:r>
    </w:p>
    <w:p>
      <w:pPr>
        <w:pStyle w:val="Normal.0"/>
        <w:ind w:firstLine="360"/>
      </w:pPr>
    </w:p>
    <w:p>
      <w:pPr>
        <w:pStyle w:val="Normal.0"/>
        <w:keepNext w:val="1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The X-ray crystal structure of 1</w:t>
      </w:r>
    </w:p>
    <w:p>
      <w:pPr>
        <w:pStyle w:val="Normal.0"/>
        <w:ind w:firstLine="360"/>
        <w:rPr>
          <w:color w:val="000000"/>
        </w:rPr>
      </w:pPr>
      <w:r>
        <w:rPr>
          <w:i w:val="1"/>
          <w:iCs w:val="1"/>
          <w:color w:val="000000"/>
          <w:rtl w:val="0"/>
          <w:lang w:val="en-US"/>
        </w:rPr>
        <w:t>Crystal data for</w:t>
      </w:r>
      <w:r>
        <w:rPr>
          <w:color w:val="000000"/>
          <w:rtl w:val="0"/>
          <w:lang w:val="en-US"/>
        </w:rPr>
        <w:t xml:space="preserve"> </w:t>
      </w:r>
      <w:r>
        <w:rPr>
          <w:b w:val="1"/>
          <w:bCs w:val="1"/>
          <w:color w:val="000000"/>
          <w:rtl w:val="0"/>
          <w:lang w:val="en-US"/>
        </w:rPr>
        <w:t>1</w:t>
      </w:r>
      <w:r>
        <w:rPr>
          <w:color w:val="000000"/>
          <w:rtl w:val="0"/>
          <w:lang w:val="en-US"/>
        </w:rPr>
        <w:t>: C</w:t>
      </w:r>
      <w:r>
        <w:rPr>
          <w:color w:val="000000"/>
          <w:vertAlign w:val="subscript"/>
          <w:rtl w:val="0"/>
          <w:lang w:val="en-US"/>
        </w:rPr>
        <w:t>19</w:t>
      </w:r>
      <w:r>
        <w:rPr>
          <w:color w:val="000000"/>
          <w:rtl w:val="0"/>
          <w:lang w:val="en-US"/>
        </w:rPr>
        <w:t>H</w:t>
      </w:r>
      <w:r>
        <w:rPr>
          <w:color w:val="000000"/>
          <w:vertAlign w:val="subscript"/>
          <w:rtl w:val="0"/>
          <w:lang w:val="en-US"/>
        </w:rPr>
        <w:t>19</w:t>
      </w:r>
      <w:r>
        <w:rPr>
          <w:color w:val="000000"/>
          <w:rtl w:val="0"/>
          <w:lang w:val="en-US"/>
        </w:rPr>
        <w:t>NO</w:t>
      </w:r>
      <w:r>
        <w:rPr>
          <w:color w:val="000000"/>
          <w:vertAlign w:val="subscript"/>
          <w:rtl w:val="0"/>
          <w:lang w:val="en-US"/>
        </w:rPr>
        <w:t>5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M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341.35</w:t>
      </w:r>
      <w:r>
        <w:rPr>
          <w:color w:val="000000"/>
          <w:rtl w:val="0"/>
          <w:lang w:val="en-US"/>
        </w:rPr>
        <w:t xml:space="preserve">, </w:t>
      </w:r>
      <w:r>
        <w:rPr>
          <w:color w:val="000000"/>
          <w:rtl w:val="0"/>
          <w:lang w:val="en-US"/>
        </w:rPr>
        <w:t>mono</w:t>
      </w:r>
      <w:r>
        <w:rPr>
          <w:color w:val="000000"/>
          <w:rtl w:val="0"/>
          <w:lang w:val="en-US"/>
        </w:rPr>
        <w:t xml:space="preserve">clinic, </w:t>
      </w:r>
      <w:r>
        <w:rPr>
          <w:i w:val="1"/>
          <w:iCs w:val="1"/>
          <w:color w:val="000000"/>
          <w:rtl w:val="0"/>
          <w:lang w:val="en-US"/>
        </w:rPr>
        <w:t>P</w:t>
      </w:r>
      <w:r>
        <w:rPr>
          <w:color w:val="000000"/>
          <w:rtl w:val="0"/>
          <w:lang w:val="en-US"/>
        </w:rPr>
        <w:t>2</w:t>
      </w:r>
      <w:r>
        <w:rPr>
          <w:color w:val="000000"/>
          <w:vertAlign w:val="subscript"/>
          <w:rtl w:val="0"/>
          <w:lang w:val="en-US"/>
        </w:rPr>
        <w:t>1</w:t>
      </w:r>
      <w:r>
        <w:rPr>
          <w:color w:val="000000"/>
          <w:rtl w:val="0"/>
          <w:lang w:val="en-US"/>
        </w:rPr>
        <w:t xml:space="preserve"> (no. </w:t>
      </w:r>
      <w:r>
        <w:rPr>
          <w:color w:val="000000"/>
          <w:rtl w:val="0"/>
          <w:lang w:val="en-US"/>
        </w:rPr>
        <w:t>4</w:t>
      </w:r>
      <w:r>
        <w:rPr>
          <w:color w:val="000000"/>
          <w:rtl w:val="0"/>
          <w:lang w:val="en-US"/>
        </w:rPr>
        <w:t xml:space="preserve">), </w:t>
      </w:r>
      <w:r>
        <w:rPr>
          <w:i w:val="1"/>
          <w:iCs w:val="1"/>
          <w:color w:val="000000"/>
          <w:rtl w:val="0"/>
          <w:lang w:val="en-US"/>
        </w:rPr>
        <w:t>a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5.7625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4</w:t>
      </w:r>
      <w:r>
        <w:rPr>
          <w:color w:val="000000"/>
          <w:rtl w:val="0"/>
          <w:lang w:val="en-US"/>
        </w:rPr>
        <w:t xml:space="preserve">), </w:t>
      </w:r>
      <w:r>
        <w:rPr>
          <w:i w:val="1"/>
          <w:iCs w:val="1"/>
          <w:color w:val="000000"/>
          <w:rtl w:val="0"/>
          <w:lang w:val="en-US"/>
        </w:rPr>
        <w:t>b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16.4131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12</w:t>
      </w:r>
      <w:r>
        <w:rPr>
          <w:color w:val="000000"/>
          <w:rtl w:val="0"/>
          <w:lang w:val="en-US"/>
        </w:rPr>
        <w:t xml:space="preserve">), </w:t>
      </w:r>
      <w:r>
        <w:rPr>
          <w:i w:val="1"/>
          <w:iCs w:val="1"/>
          <w:color w:val="000000"/>
          <w:rtl w:val="0"/>
          <w:lang w:val="en-US"/>
        </w:rPr>
        <w:t>c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18.2857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13</w:t>
      </w:r>
      <w:r>
        <w:rPr>
          <w:color w:val="000000"/>
          <w:rtl w:val="0"/>
          <w:lang w:val="en-US"/>
        </w:rPr>
        <w:t xml:space="preserve">) </w:t>
      </w:r>
      <w:r>
        <w:rPr>
          <w:color w:val="000000"/>
          <w:rtl w:val="0"/>
          <w:lang w:val="en-US"/>
        </w:rPr>
        <w:t>Å</w:t>
      </w:r>
      <w:r>
        <w:rPr>
          <w:color w:val="000000"/>
          <w:rtl w:val="0"/>
          <w:lang w:val="en-US"/>
        </w:rPr>
        <w:t xml:space="preserve">, </w:t>
      </w:r>
      <w:r>
        <w:rPr>
          <w:color w:val="000000"/>
          <w:rtl w:val="0"/>
          <w:lang w:val="en-US"/>
        </w:rPr>
        <w:t xml:space="preserve">β </w:t>
      </w:r>
      <w:r>
        <w:rPr>
          <w:color w:val="000000"/>
          <w:rtl w:val="0"/>
          <w:lang w:val="en-US"/>
        </w:rPr>
        <w:t xml:space="preserve">= </w:t>
      </w:r>
      <w:r>
        <w:rPr>
          <w:color w:val="000000"/>
          <w:rtl w:val="0"/>
          <w:lang w:val="en-US"/>
        </w:rPr>
        <w:t>96.264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7</w:t>
      </w:r>
      <w:r>
        <w:rPr>
          <w:color w:val="000000"/>
          <w:rtl w:val="0"/>
          <w:lang w:val="en-US"/>
        </w:rPr>
        <w:t>)</w:t>
      </w:r>
      <w:r>
        <w:rPr>
          <w:color w:val="000000"/>
          <w:rtl w:val="0"/>
          <w:lang w:val="en-US"/>
        </w:rPr>
        <w:t>°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V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1719.1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2</w:t>
      </w:r>
      <w:r>
        <w:rPr>
          <w:color w:val="000000"/>
          <w:rtl w:val="0"/>
          <w:lang w:val="en-US"/>
        </w:rPr>
        <w:t xml:space="preserve">) </w:t>
      </w:r>
      <w:r>
        <w:rPr>
          <w:color w:val="000000"/>
          <w:rtl w:val="0"/>
          <w:lang w:val="en-US"/>
        </w:rPr>
        <w:t>Å</w:t>
      </w:r>
      <w:r>
        <w:rPr>
          <w:color w:val="000000"/>
          <w:vertAlign w:val="superscript"/>
          <w:rtl w:val="0"/>
          <w:lang w:val="en-US"/>
        </w:rPr>
        <w:t>3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Z</w:t>
      </w:r>
      <w:r>
        <w:rPr>
          <w:color w:val="000000"/>
          <w:rtl w:val="0"/>
          <w:lang w:val="en-US"/>
        </w:rPr>
        <w:t xml:space="preserve"> = </w:t>
      </w:r>
      <w:r>
        <w:rPr>
          <w:color w:val="000000"/>
          <w:rtl w:val="0"/>
          <w:lang w:val="en-US"/>
        </w:rPr>
        <w:t>4 [2 independent molecules]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D</w:t>
      </w:r>
      <w:r>
        <w:rPr>
          <w:color w:val="000000"/>
          <w:vertAlign w:val="subscript"/>
          <w:rtl w:val="0"/>
          <w:lang w:val="en-US"/>
        </w:rPr>
        <w:t>c</w:t>
      </w:r>
      <w:r>
        <w:rPr>
          <w:color w:val="000000"/>
          <w:rtl w:val="0"/>
          <w:lang w:val="en-US"/>
        </w:rPr>
        <w:t xml:space="preserve"> = 1.</w:t>
      </w:r>
      <w:r>
        <w:rPr>
          <w:color w:val="000000"/>
          <w:rtl w:val="0"/>
          <w:lang w:val="en-US"/>
        </w:rPr>
        <w:t>319</w:t>
      </w:r>
      <w:r>
        <w:rPr>
          <w:color w:val="000000"/>
          <w:rtl w:val="0"/>
          <w:lang w:val="en-US"/>
        </w:rPr>
        <w:t xml:space="preserve"> g cm</w:t>
      </w:r>
      <w:r>
        <w:rPr>
          <w:color w:val="000000"/>
          <w:vertAlign w:val="superscript"/>
          <w:rtl w:val="0"/>
          <w:lang w:val="en-US"/>
        </w:rPr>
        <w:t>–</w:t>
      </w:r>
      <w:r>
        <w:rPr>
          <w:color w:val="000000"/>
          <w:vertAlign w:val="superscript"/>
          <w:rtl w:val="0"/>
          <w:lang w:val="en-US"/>
        </w:rPr>
        <w:t>3</w:t>
      </w:r>
      <w:r>
        <w:rPr>
          <w:color w:val="000000"/>
          <w:rtl w:val="0"/>
          <w:lang w:val="en-US"/>
        </w:rPr>
        <w:t xml:space="preserve">, </w:t>
      </w:r>
      <w:r>
        <w:rPr>
          <w:color w:val="000000"/>
          <w:rtl w:val="0"/>
          <w:lang w:val="en-US"/>
        </w:rPr>
        <w:t>μ</w:t>
      </w:r>
      <w:r>
        <w:rPr>
          <w:color w:val="000000"/>
          <w:rtl w:val="0"/>
          <w:lang w:val="en-US"/>
        </w:rPr>
        <w:t>(</w:t>
      </w:r>
      <w:r>
        <w:rPr>
          <w:color w:val="000000"/>
          <w:rtl w:val="0"/>
          <w:lang w:val="en-US"/>
        </w:rPr>
        <w:t>Mo</w:t>
      </w:r>
      <w:r>
        <w:rPr>
          <w:color w:val="000000"/>
          <w:rtl w:val="0"/>
          <w:lang w:val="en-US"/>
        </w:rPr>
        <w:t>-K</w:t>
      </w:r>
      <w:r>
        <w:rPr>
          <w:color w:val="000000"/>
          <w:rtl w:val="0"/>
          <w:lang w:val="en-US"/>
        </w:rPr>
        <w:t>α</w:t>
      </w:r>
      <w:r>
        <w:rPr>
          <w:color w:val="000000"/>
          <w:rtl w:val="0"/>
          <w:lang w:val="en-US"/>
        </w:rPr>
        <w:t xml:space="preserve">) = </w:t>
      </w:r>
      <w:r>
        <w:rPr>
          <w:color w:val="000000"/>
          <w:rtl w:val="0"/>
          <w:lang w:val="en-US"/>
        </w:rPr>
        <w:t>0.096</w:t>
      </w:r>
      <w:r>
        <w:rPr>
          <w:color w:val="000000"/>
          <w:rtl w:val="0"/>
          <w:lang w:val="en-US"/>
        </w:rPr>
        <w:t xml:space="preserve"> mm</w:t>
      </w:r>
      <w:r>
        <w:rPr>
          <w:color w:val="000000"/>
          <w:vertAlign w:val="superscript"/>
          <w:rtl w:val="0"/>
          <w:lang w:val="en-US"/>
        </w:rPr>
        <w:t>–</w:t>
      </w:r>
      <w:r>
        <w:rPr>
          <w:color w:val="000000"/>
          <w:vertAlign w:val="superscript"/>
          <w:rtl w:val="0"/>
          <w:lang w:val="en-US"/>
        </w:rPr>
        <w:t>1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T</w:t>
      </w:r>
      <w:r>
        <w:rPr>
          <w:color w:val="000000"/>
          <w:rtl w:val="0"/>
          <w:lang w:val="en-US"/>
        </w:rPr>
        <w:t xml:space="preserve"> = 173 K, colourless blocks, </w:t>
      </w:r>
      <w:r>
        <w:rPr>
          <w:color w:val="000000"/>
          <w:rtl w:val="0"/>
          <w:lang w:val="en-US"/>
        </w:rPr>
        <w:t>Agilent</w:t>
      </w:r>
      <w:r>
        <w:rPr>
          <w:color w:val="000000"/>
          <w:rtl w:val="0"/>
          <w:lang w:val="en-US"/>
        </w:rPr>
        <w:t xml:space="preserve"> Xcalibur </w:t>
      </w:r>
      <w:r>
        <w:rPr>
          <w:color w:val="000000"/>
          <w:rtl w:val="0"/>
          <w:lang w:val="en-US"/>
        </w:rPr>
        <w:t xml:space="preserve">3 E </w:t>
      </w:r>
      <w:r>
        <w:rPr>
          <w:color w:val="000000"/>
          <w:rtl w:val="0"/>
          <w:lang w:val="en-US"/>
        </w:rPr>
        <w:t xml:space="preserve">diffractometer; </w:t>
      </w:r>
      <w:r>
        <w:rPr>
          <w:color w:val="000000"/>
          <w:rtl w:val="0"/>
          <w:lang w:val="en-US"/>
        </w:rPr>
        <w:t>7419</w:t>
      </w:r>
      <w:r>
        <w:rPr>
          <w:color w:val="000000"/>
          <w:rtl w:val="0"/>
          <w:lang w:val="en-US"/>
        </w:rPr>
        <w:t xml:space="preserve"> independent measured reflections (</w:t>
      </w:r>
      <w:r>
        <w:rPr>
          <w:i w:val="1"/>
          <w:iCs w:val="1"/>
          <w:color w:val="000000"/>
          <w:rtl w:val="0"/>
          <w:lang w:val="en-US"/>
        </w:rPr>
        <w:t>R</w:t>
      </w:r>
      <w:r>
        <w:rPr>
          <w:color w:val="000000"/>
          <w:vertAlign w:val="subscript"/>
          <w:rtl w:val="0"/>
          <w:lang w:val="en-US"/>
        </w:rPr>
        <w:t>int</w:t>
      </w:r>
      <w:r>
        <w:rPr>
          <w:color w:val="000000"/>
          <w:rtl w:val="0"/>
          <w:lang w:val="en-US"/>
        </w:rPr>
        <w:t xml:space="preserve"> = 0.0</w:t>
      </w:r>
      <w:r>
        <w:rPr>
          <w:color w:val="000000"/>
          <w:rtl w:val="0"/>
          <w:lang w:val="en-US"/>
        </w:rPr>
        <w:t>260</w:t>
      </w:r>
      <w:r>
        <w:rPr>
          <w:color w:val="000000"/>
          <w:rtl w:val="0"/>
          <w:lang w:val="en-US"/>
        </w:rPr>
        <w:t xml:space="preserve">), </w:t>
      </w:r>
      <w:r>
        <w:rPr>
          <w:i w:val="1"/>
          <w:iCs w:val="1"/>
          <w:color w:val="000000"/>
          <w:rtl w:val="0"/>
          <w:lang w:val="en-US"/>
        </w:rPr>
        <w:t>F</w:t>
      </w:r>
      <w:r>
        <w:rPr>
          <w:color w:val="000000"/>
          <w:vertAlign w:val="superscript"/>
          <w:rtl w:val="0"/>
          <w:lang w:val="en-US"/>
        </w:rPr>
        <w:t>2</w:t>
      </w:r>
      <w:r>
        <w:rPr>
          <w:color w:val="000000"/>
          <w:rtl w:val="0"/>
          <w:lang w:val="en-US"/>
        </w:rPr>
        <w:t xml:space="preserve"> refinement,</w:t>
      </w:r>
      <w:r>
        <w:rPr>
          <w:color w:val="000000"/>
          <w:vertAlign w:val="superscript"/>
          <w:rtl w:val="0"/>
          <w:lang w:val="en-US"/>
        </w:rPr>
        <w:t>[</w:t>
      </w:r>
      <w:r>
        <w:rPr>
          <w:color w:val="000000"/>
          <w:vertAlign w:val="superscript"/>
          <w:rtl w:val="0"/>
          <w:lang w:val="en-US"/>
        </w:rPr>
        <w:t>X</w:t>
      </w:r>
      <w:r>
        <w:rPr>
          <w:color w:val="000000"/>
          <w:vertAlign w:val="superscript"/>
          <w:rtl w:val="0"/>
          <w:lang w:val="en-US"/>
        </w:rPr>
        <w:t>1</w:t>
      </w:r>
      <w:r>
        <w:rPr>
          <w:color w:val="000000"/>
          <w:vertAlign w:val="superscript"/>
          <w:rtl w:val="0"/>
          <w:lang w:val="en-US"/>
        </w:rPr>
        <w:t>,X2</w:t>
      </w:r>
      <w:r>
        <w:rPr>
          <w:color w:val="000000"/>
          <w:vertAlign w:val="superscript"/>
          <w:rtl w:val="0"/>
          <w:lang w:val="en-US"/>
        </w:rPr>
        <w:t>]</w:t>
      </w:r>
      <w:r>
        <w:rPr>
          <w:color w:val="000000"/>
          <w:rtl w:val="0"/>
          <w:lang w:val="en-US"/>
        </w:rPr>
        <w:t xml:space="preserve"> </w:t>
      </w:r>
      <w:r>
        <w:rPr>
          <w:i w:val="1"/>
          <w:iCs w:val="1"/>
          <w:color w:val="000000"/>
          <w:rtl w:val="0"/>
          <w:lang w:val="en-US"/>
        </w:rPr>
        <w:t>R</w:t>
      </w:r>
      <w:r>
        <w:rPr>
          <w:color w:val="000000"/>
          <w:vertAlign w:val="subscript"/>
          <w:rtl w:val="0"/>
          <w:lang w:val="en-US"/>
        </w:rPr>
        <w:t>1</w:t>
      </w:r>
      <w:r>
        <w:rPr>
          <w:color w:val="000000"/>
          <w:rtl w:val="0"/>
          <w:lang w:val="en-US"/>
        </w:rPr>
        <w:t>(obs) = 0.0</w:t>
      </w:r>
      <w:r>
        <w:rPr>
          <w:color w:val="000000"/>
          <w:rtl w:val="0"/>
          <w:lang w:val="en-US"/>
        </w:rPr>
        <w:t>342</w:t>
      </w:r>
      <w:r>
        <w:rPr>
          <w:color w:val="000000"/>
          <w:rtl w:val="0"/>
          <w:lang w:val="en-US"/>
        </w:rPr>
        <w:t xml:space="preserve">, </w:t>
      </w:r>
      <w:r>
        <w:rPr>
          <w:i w:val="1"/>
          <w:iCs w:val="1"/>
          <w:color w:val="000000"/>
          <w:rtl w:val="0"/>
          <w:lang w:val="en-US"/>
        </w:rPr>
        <w:t>wR</w:t>
      </w:r>
      <w:r>
        <w:rPr>
          <w:color w:val="000000"/>
          <w:vertAlign w:val="subscript"/>
          <w:rtl w:val="0"/>
          <w:lang w:val="en-US"/>
        </w:rPr>
        <w:t>2</w:t>
      </w:r>
      <w:r>
        <w:rPr>
          <w:color w:val="000000"/>
          <w:rtl w:val="0"/>
          <w:lang w:val="en-US"/>
        </w:rPr>
        <w:t xml:space="preserve">(all) = </w:t>
      </w:r>
      <w:r>
        <w:rPr>
          <w:color w:val="000000"/>
          <w:rtl w:val="0"/>
          <w:lang w:val="en-US"/>
        </w:rPr>
        <w:t>0.0686</w:t>
      </w:r>
      <w:r>
        <w:rPr>
          <w:color w:val="000000"/>
          <w:rtl w:val="0"/>
          <w:lang w:val="en-US"/>
        </w:rPr>
        <w:t xml:space="preserve">, </w:t>
      </w:r>
      <w:r>
        <w:rPr>
          <w:color w:val="000000"/>
          <w:rtl w:val="0"/>
          <w:lang w:val="en-US"/>
        </w:rPr>
        <w:t>5765</w:t>
      </w:r>
      <w:r>
        <w:rPr>
          <w:color w:val="000000"/>
          <w:rtl w:val="0"/>
          <w:lang w:val="en-US"/>
        </w:rPr>
        <w:t xml:space="preserve"> independent observed absorption-corrected reflections </w:t>
      </w:r>
      <w:r>
        <w:rPr>
          <w:rtl w:val="0"/>
          <w:lang w:val="en-US"/>
        </w:rPr>
        <w:t>[|</w:t>
      </w:r>
      <w:r>
        <w:rPr>
          <w:i w:val="1"/>
          <w:iCs w:val="1"/>
          <w:rtl w:val="0"/>
          <w:lang w:val="en-US"/>
        </w:rPr>
        <w:t>F</w:t>
      </w:r>
      <w:r>
        <w:rPr>
          <w:vertAlign w:val="subscript"/>
          <w:rtl w:val="0"/>
          <w:lang w:val="en-US"/>
        </w:rPr>
        <w:t>o</w:t>
      </w:r>
      <w:r>
        <w:rPr>
          <w:rtl w:val="0"/>
          <w:lang w:val="en-US"/>
        </w:rPr>
        <w:t>| &gt; 4</w:t>
      </w:r>
      <w:r>
        <w:rPr>
          <w:rtl w:val="0"/>
          <w:lang w:val="en-US"/>
        </w:rPr>
        <w:t>σ</w:t>
      </w:r>
      <w:r>
        <w:rPr>
          <w:rtl w:val="0"/>
          <w:lang w:val="en-US"/>
        </w:rPr>
        <w:t>(|</w:t>
      </w:r>
      <w:r>
        <w:rPr>
          <w:i w:val="1"/>
          <w:iCs w:val="1"/>
          <w:rtl w:val="0"/>
          <w:lang w:val="en-US"/>
        </w:rPr>
        <w:t>F</w:t>
      </w:r>
      <w:r>
        <w:rPr>
          <w:vertAlign w:val="subscript"/>
          <w:rtl w:val="0"/>
          <w:lang w:val="en-US"/>
        </w:rPr>
        <w:t>o</w:t>
      </w:r>
      <w:r>
        <w:rPr>
          <w:rtl w:val="0"/>
          <w:lang w:val="en-US"/>
        </w:rPr>
        <w:t xml:space="preserve">|), </w:t>
      </w:r>
      <w:r>
        <w:rPr>
          <w:rtl w:val="0"/>
          <w:lang w:val="en-US"/>
        </w:rPr>
        <w:t xml:space="preserve">completeness to </w:t>
      </w:r>
      <w:r>
        <w:rPr>
          <w:rtl w:val="0"/>
          <w:lang w:val="en-US"/>
        </w:rPr>
        <w:t>θ</w:t>
      </w:r>
      <w:r>
        <w:rPr>
          <w:vertAlign w:val="subscript"/>
          <w:rtl w:val="0"/>
          <w:lang w:val="en-US"/>
        </w:rPr>
        <w:t>full</w:t>
      </w:r>
      <w:r>
        <w:rPr>
          <w:rtl w:val="0"/>
          <w:lang w:val="en-US"/>
        </w:rPr>
        <w:t>(25.2</w:t>
      </w:r>
      <w:r>
        <w:rPr>
          <w:rtl w:val="0"/>
          <w:lang w:val="en-US"/>
        </w:rPr>
        <w:t>°</w:t>
      </w:r>
      <w:r>
        <w:rPr>
          <w:rtl w:val="0"/>
          <w:lang w:val="en-US"/>
        </w:rPr>
        <w:t>) = 99.4%</w:t>
      </w:r>
      <w:r>
        <w:rPr>
          <w:rtl w:val="0"/>
          <w:lang w:val="en-US"/>
        </w:rPr>
        <w:t>]</w:t>
      </w:r>
      <w:r>
        <w:rPr>
          <w:color w:val="000000"/>
          <w:rtl w:val="0"/>
          <w:lang w:val="en-US"/>
        </w:rPr>
        <w:t xml:space="preserve">, </w:t>
      </w:r>
      <w:r>
        <w:rPr>
          <w:color w:val="000000"/>
          <w:rtl w:val="0"/>
          <w:lang w:val="en-US"/>
        </w:rPr>
        <w:t>463</w:t>
      </w:r>
      <w:r>
        <w:rPr>
          <w:color w:val="000000"/>
          <w:rtl w:val="0"/>
          <w:lang w:val="en-US"/>
        </w:rPr>
        <w:t xml:space="preserve"> parameters. </w:t>
      </w:r>
      <w:r>
        <w:rPr>
          <w:rtl w:val="0"/>
          <w:lang w:val="en-US"/>
        </w:rPr>
        <w:t xml:space="preserve">The absolute structure of </w:t>
      </w: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could not be</w:t>
      </w:r>
      <w:r>
        <w:rPr>
          <w:rtl w:val="0"/>
          <w:lang w:val="en-US"/>
        </w:rPr>
        <w:t xml:space="preserve"> determined</w:t>
      </w:r>
      <w:r>
        <w:rPr>
          <w:rtl w:val="0"/>
          <w:lang w:val="en-US"/>
        </w:rPr>
        <w:t xml:space="preserve"> [</w:t>
      </w:r>
      <w:r>
        <w:rPr>
          <w:rtl w:val="0"/>
          <w:lang w:val="en-US"/>
        </w:rPr>
        <w:t xml:space="preserve">Flack parameter </w:t>
      </w:r>
      <w:r>
        <w:rPr>
          <w:i w:val="1"/>
          <w:iCs w:val="1"/>
          <w:rtl w:val="0"/>
          <w:lang w:val="en-US"/>
        </w:rPr>
        <w:t>x</w:t>
      </w:r>
      <w:r>
        <w:rPr>
          <w:vertAlign w:val="superscript"/>
          <w:rtl w:val="0"/>
          <w:lang w:val="en-US"/>
        </w:rPr>
        <w:t>+</w:t>
      </w:r>
      <w:r>
        <w:rPr>
          <w:rtl w:val="0"/>
          <w:lang w:val="en-US"/>
        </w:rPr>
        <w:t xml:space="preserve"> = +0.</w:t>
      </w:r>
      <w:r>
        <w:rPr>
          <w:rtl w:val="0"/>
          <w:lang w:val="en-US"/>
        </w:rPr>
        <w:t>1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7</w:t>
      </w:r>
      <w:r>
        <w:rPr>
          <w:rtl w:val="0"/>
          <w:lang w:val="en-US"/>
        </w:rPr>
        <w:t xml:space="preserve">)]. </w:t>
      </w:r>
      <w:r>
        <w:rPr>
          <w:color w:val="000000"/>
          <w:rtl w:val="0"/>
          <w:lang w:val="en-US"/>
        </w:rPr>
        <w:t>CCDC xxxxxx.</w:t>
      </w:r>
    </w:p>
    <w:p>
      <w:pPr>
        <w:pStyle w:val="Normal.0"/>
        <w:ind w:firstLine="360"/>
        <w:rPr>
          <w:color w:val="000000"/>
        </w:rPr>
      </w:pPr>
      <w:r>
        <w:rPr>
          <w:rtl w:val="0"/>
          <w:lang w:val="en-US"/>
        </w:rPr>
        <w:t xml:space="preserve">The crystal of </w:t>
      </w: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 xml:space="preserve"> that was studied was found to be a </w:t>
      </w:r>
      <w:r>
        <w:rPr>
          <w:rtl w:val="0"/>
          <w:lang w:val="en-US"/>
        </w:rPr>
        <w:t>two</w:t>
      </w:r>
      <w:r>
        <w:rPr>
          <w:rtl w:val="0"/>
          <w:lang w:val="en-US"/>
        </w:rPr>
        <w:t xml:space="preserve"> component twin in a </w:t>
      </w:r>
      <w:r>
        <w:rPr>
          <w:i w:val="1"/>
          <w:iCs w:val="1"/>
          <w:rtl w:val="0"/>
          <w:lang w:val="en-US"/>
        </w:rPr>
        <w:t>ca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58:42</w:t>
      </w:r>
      <w:r>
        <w:rPr>
          <w:rtl w:val="0"/>
          <w:lang w:val="en-US"/>
        </w:rPr>
        <w:t xml:space="preserve"> ratio, with the two lattices related by the approximate twin law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[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 xml:space="preserve">1.00 0.00 0.00 0.00 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1.00 0.00 0.71 0.00 1.00]</w:t>
      </w:r>
      <w:r>
        <w:rPr>
          <w:rtl w:val="0"/>
          <w:lang w:val="en-US"/>
        </w:rPr>
        <w:t xml:space="preserve">. The structure was found to contain two crystallographically independent molecules, </w:t>
      </w:r>
      <w:r>
        <w:rPr>
          <w:b w:val="1"/>
          <w:bCs w:val="1"/>
          <w:rtl w:val="0"/>
          <w:lang w:val="en-US"/>
        </w:rPr>
        <w:t>1-A</w:t>
      </w:r>
      <w:r>
        <w:rPr>
          <w:rtl w:val="0"/>
          <w:lang w:val="en-US"/>
        </w:rPr>
        <w:t xml:space="preserve"> and </w:t>
      </w:r>
      <w:r>
        <w:rPr>
          <w:b w:val="1"/>
          <w:bCs w:val="1"/>
          <w:rtl w:val="0"/>
          <w:lang w:val="en-US"/>
        </w:rPr>
        <w:t>1-B</w:t>
      </w:r>
      <w:r>
        <w:rPr>
          <w:rtl w:val="0"/>
          <w:lang w:val="en-US"/>
        </w:rPr>
        <w:t>. The O(6)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 xml:space="preserve">H hydrogen atom in each molecule was located from a </w:t>
      </w:r>
      <w:r>
        <w:rPr>
          <w:rtl w:val="0"/>
          <w:lang w:val="en-US"/>
        </w:rPr>
        <w:t>Δ</w:t>
      </w:r>
      <w:r>
        <w:rPr>
          <w:i w:val="1"/>
          <w:iCs w:val="1"/>
          <w:rtl w:val="0"/>
          <w:lang w:val="en-US"/>
        </w:rPr>
        <w:t>F</w:t>
      </w:r>
      <w:r>
        <w:rPr>
          <w:rtl w:val="0"/>
          <w:lang w:val="en-US"/>
        </w:rPr>
        <w:t xml:space="preserve"> map and refined freely subject to an O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 xml:space="preserve">H distance constraint of 0.90 </w:t>
      </w:r>
      <w:r>
        <w:rPr>
          <w:rtl w:val="0"/>
          <w:lang w:val="en-US"/>
        </w:rPr>
        <w:t>Å</w:t>
      </w:r>
      <w:r>
        <w:rPr>
          <w:rtl w:val="0"/>
          <w:lang w:val="en-US"/>
        </w:rPr>
        <w:t>.</w:t>
      </w:r>
    </w:p>
    <w:p>
      <w:pPr>
        <w:pStyle w:val="Normal.0"/>
        <w:ind w:firstLine="360"/>
      </w:pPr>
    </w:p>
    <w:p>
      <w:pPr>
        <w:pStyle w:val="Normal.0"/>
        <w:keepNext w:val="1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References</w:t>
      </w:r>
    </w:p>
    <w:p>
      <w:pPr>
        <w:pStyle w:val="Normal.0"/>
        <w:ind w:left="720" w:hanging="720"/>
        <w:jc w:val="left"/>
      </w:pPr>
      <w:r>
        <w:rPr>
          <w:rtl w:val="0"/>
          <w:lang w:val="en-US"/>
        </w:rPr>
        <w:t>[X</w:t>
      </w:r>
      <w:r>
        <w:rPr>
          <w:rtl w:val="0"/>
          <w:lang w:val="en-US"/>
        </w:rPr>
        <w:t>1</w:t>
      </w:r>
      <w:r>
        <w:rPr>
          <w:rtl w:val="0"/>
          <w:lang w:val="en-US"/>
        </w:rPr>
        <w:t>]</w:t>
      </w:r>
      <w:r>
        <w:rPr>
          <w:rtl w:val="0"/>
        </w:rPr>
        <w:tab/>
        <w:t>SHELXTL</w:t>
      </w:r>
      <w:r>
        <w:rPr>
          <w:rtl w:val="0"/>
          <w:lang w:val="en-US"/>
        </w:rPr>
        <w:t xml:space="preserve"> v5.1</w:t>
      </w:r>
      <w:r>
        <w:rPr>
          <w:rtl w:val="0"/>
          <w:lang w:val="en-US"/>
        </w:rPr>
        <w:t>, Bruker AXS, Madison, WI</w:t>
      </w:r>
      <w:r>
        <w:rPr>
          <w:rtl w:val="0"/>
          <w:lang w:val="en-US"/>
        </w:rPr>
        <w:t>, 1998.</w:t>
      </w:r>
    </w:p>
    <w:p>
      <w:pPr>
        <w:pStyle w:val="Normal.0"/>
        <w:ind w:left="720" w:hanging="720"/>
        <w:jc w:val="left"/>
        <w:rPr>
          <w:color w:val="000000"/>
        </w:rPr>
      </w:pPr>
      <w:r>
        <w:rPr>
          <w:rtl w:val="0"/>
          <w:lang w:val="en-US"/>
        </w:rPr>
        <w:t>[X2]</w:t>
        <w:tab/>
      </w:r>
      <w:r>
        <w:rPr>
          <w:rtl w:val="0"/>
          <w:lang w:val="en-US"/>
        </w:rPr>
        <w:t xml:space="preserve">SHELX-2013, G.M. Sheldrick, </w:t>
      </w:r>
      <w:r>
        <w:rPr>
          <w:i w:val="1"/>
          <w:iCs w:val="1"/>
          <w:rtl w:val="0"/>
          <w:lang w:val="en-US"/>
        </w:rPr>
        <w:t>Acta Cryst.</w:t>
      </w:r>
      <w:r>
        <w:rPr>
          <w:rtl w:val="0"/>
          <w:lang w:val="en-US"/>
        </w:rPr>
        <w:t>, 20</w:t>
      </w:r>
      <w:r>
        <w:rPr>
          <w:rtl w:val="0"/>
          <w:lang w:val="en-US"/>
        </w:rPr>
        <w:t>15</w:t>
      </w:r>
      <w:r>
        <w:rPr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>C71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3-8.</w:t>
      </w:r>
    </w:p>
    <w:p>
      <w:pPr>
        <w:pStyle w:val="Normal.0"/>
        <w:ind w:firstLine="360"/>
      </w:pPr>
    </w:p>
    <w:p>
      <w:pPr>
        <w:pStyle w:val="Normal.0"/>
        <w:keepNext w:val="1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Figures</w:t>
      </w:r>
    </w:p>
    <w:p>
      <w:pPr>
        <w:pStyle w:val="Normal.0"/>
        <w:keepNext w:val="1"/>
        <w:jc w:val="center"/>
      </w:pPr>
    </w:p>
    <w:p>
      <w:pPr>
        <w:pStyle w:val="Normal.0"/>
        <w:keepNext w:val="1"/>
        <w:jc w:val="center"/>
      </w:pPr>
    </w:p>
    <w:p>
      <w:pPr>
        <w:pStyle w:val="Normal.0"/>
        <w:ind w:left="900" w:hanging="900"/>
        <w:jc w:val="left"/>
      </w:pPr>
      <w:r>
        <w:rPr>
          <w:b w:val="1"/>
          <w:bCs w:val="1"/>
          <w:rtl w:val="0"/>
          <w:lang w:val="en-US"/>
        </w:rPr>
        <w:t>Fig. S1</w:t>
        <w:tab/>
      </w:r>
      <w:r>
        <w:rPr>
          <w:rtl w:val="0"/>
          <w:lang w:val="en-US"/>
        </w:rPr>
        <w:t>The structure of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1-A</w:t>
      </w:r>
      <w:r>
        <w:rPr>
          <w:rtl w:val="0"/>
          <w:lang w:val="en-US"/>
        </w:rPr>
        <w:t>, one of the two independent molecules present in the crystal of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50</w:t>
      </w:r>
      <w:r>
        <w:rPr>
          <w:rtl w:val="0"/>
          <w:lang w:val="en-US"/>
        </w:rPr>
        <w:t>% probability ellipsoids).</w:t>
      </w:r>
    </w:p>
    <w:p>
      <w:pPr>
        <w:pStyle w:val="Normal.0"/>
        <w:jc w:val="center"/>
      </w:pPr>
    </w:p>
    <w:p>
      <w:pPr>
        <w:pStyle w:val="Normal.0"/>
        <w:keepNext w:val="1"/>
        <w:jc w:val="center"/>
      </w:pPr>
    </w:p>
    <w:p>
      <w:pPr>
        <w:pStyle w:val="Normal.0"/>
        <w:ind w:left="900" w:hanging="900"/>
        <w:jc w:val="left"/>
      </w:pPr>
      <w:r>
        <w:rPr>
          <w:b w:val="1"/>
          <w:bCs w:val="1"/>
          <w:rtl w:val="0"/>
          <w:lang w:val="en-US"/>
        </w:rPr>
        <w:t>Fig. S</w:t>
      </w:r>
      <w:r>
        <w:rPr>
          <w:b w:val="1"/>
          <w:bCs w:val="1"/>
          <w:rtl w:val="0"/>
          <w:lang w:val="en-US"/>
        </w:rPr>
        <w:t>2</w:t>
      </w:r>
      <w:r>
        <w:rPr>
          <w:b w:val="1"/>
          <w:bCs w:val="1"/>
        </w:rPr>
        <w:tab/>
      </w:r>
      <w:r>
        <w:rPr>
          <w:rtl w:val="0"/>
          <w:lang w:val="en-US"/>
        </w:rPr>
        <w:t>The structure of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1-B</w:t>
      </w:r>
      <w:r>
        <w:rPr>
          <w:rtl w:val="0"/>
          <w:lang w:val="en-US"/>
        </w:rPr>
        <w:t>, one of the two independent molecules present in the crystal of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1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50</w:t>
      </w:r>
      <w:r>
        <w:rPr>
          <w:rtl w:val="0"/>
          <w:lang w:val="en-US"/>
        </w:rPr>
        <w:t>% probability ellipsoids).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e Form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